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cs="黑体"/>
          <w:sz w:val="32"/>
          <w:szCs w:val="32"/>
        </w:rPr>
      </w:pPr>
      <w:r>
        <w:rPr>
          <w:rFonts w:hint="eastAsia" w:ascii="黑体" w:hAnsi="黑体" w:eastAsia="黑体" w:cs="黑体"/>
          <w:sz w:val="32"/>
          <w:szCs w:val="32"/>
        </w:rPr>
        <w:t>2023年宁波新时代党的统一战线研究基地项目选题指南</w:t>
      </w:r>
    </w:p>
    <w:p>
      <w:pPr>
        <w:ind w:firstLine="560"/>
        <w:rPr>
          <w:rFonts w:ascii="黑体" w:hAnsi="黑体" w:eastAsia="黑体"/>
          <w:sz w:val="28"/>
          <w:szCs w:val="28"/>
        </w:rPr>
      </w:pPr>
    </w:p>
    <w:p>
      <w:pPr>
        <w:ind w:firstLine="560"/>
        <w:rPr>
          <w:sz w:val="28"/>
          <w:szCs w:val="28"/>
        </w:rPr>
      </w:pPr>
      <w:r>
        <w:rPr>
          <w:rFonts w:hint="eastAsia"/>
          <w:sz w:val="28"/>
          <w:szCs w:val="28"/>
        </w:rPr>
        <w:t>1.</w:t>
      </w:r>
      <w:r>
        <w:rPr>
          <w:rFonts w:hint="eastAsia"/>
          <w:b/>
          <w:bCs/>
          <w:sz w:val="28"/>
          <w:szCs w:val="28"/>
        </w:rPr>
        <w:t>中国共产党统一战线百年实践逻辑、演进动力及发展规律研究</w:t>
      </w:r>
    </w:p>
    <w:p>
      <w:pPr>
        <w:ind w:firstLine="560"/>
        <w:rPr>
          <w:sz w:val="28"/>
          <w:szCs w:val="28"/>
        </w:rPr>
      </w:pPr>
      <w:r>
        <w:rPr>
          <w:rFonts w:hint="eastAsia" w:ascii="楷体" w:hAnsi="楷体" w:eastAsia="楷体" w:cs="楷体"/>
          <w:b/>
          <w:bCs/>
          <w:sz w:val="28"/>
          <w:szCs w:val="28"/>
        </w:rPr>
        <w:t>要点</w:t>
      </w:r>
      <w:r>
        <w:rPr>
          <w:rFonts w:hint="eastAsia"/>
          <w:sz w:val="28"/>
          <w:szCs w:val="28"/>
        </w:rPr>
        <w:t>：阐发党的二十大对统一战线的新表述</w:t>
      </w:r>
      <w:r>
        <w:rPr>
          <w:rFonts w:hint="eastAsia"/>
          <w:sz w:val="28"/>
          <w:szCs w:val="28"/>
        </w:rPr>
        <w:t>，阐释习近平总书记关于做好新时代党的统一战线工作重要思想在党的二十大中的新呈现</w:t>
      </w:r>
      <w:r>
        <w:rPr>
          <w:rFonts w:hint="eastAsia"/>
          <w:sz w:val="28"/>
          <w:szCs w:val="28"/>
        </w:rPr>
        <w:t>，阐证统一战线在党百年奋斗征程的演进与作用，阐究新阶段推进统一战线守正创新的理路、道路、思路等。</w:t>
      </w:r>
    </w:p>
    <w:p>
      <w:pPr>
        <w:ind w:firstLine="560"/>
        <w:rPr>
          <w:sz w:val="28"/>
          <w:szCs w:val="28"/>
        </w:rPr>
      </w:pPr>
      <w:r>
        <w:rPr>
          <w:rFonts w:hint="eastAsia"/>
          <w:sz w:val="28"/>
          <w:szCs w:val="28"/>
        </w:rPr>
        <w:t>2.</w:t>
      </w:r>
      <w:r>
        <w:rPr>
          <w:rFonts w:hint="eastAsia"/>
          <w:b/>
          <w:bCs/>
          <w:sz w:val="28"/>
          <w:szCs w:val="28"/>
        </w:rPr>
        <w:t>新乡贤促进共同富裕创新机理与实践策略研究</w:t>
      </w:r>
    </w:p>
    <w:p>
      <w:pPr>
        <w:ind w:firstLine="560"/>
        <w:rPr>
          <w:sz w:val="28"/>
          <w:szCs w:val="28"/>
        </w:rPr>
      </w:pPr>
      <w:r>
        <w:rPr>
          <w:rFonts w:hint="eastAsia" w:ascii="楷体" w:hAnsi="楷体" w:eastAsia="楷体" w:cs="楷体"/>
          <w:b/>
          <w:bCs/>
          <w:sz w:val="28"/>
          <w:szCs w:val="28"/>
        </w:rPr>
        <w:t>要点</w:t>
      </w:r>
      <w:r>
        <w:rPr>
          <w:rFonts w:hint="eastAsia"/>
          <w:sz w:val="28"/>
          <w:szCs w:val="28"/>
        </w:rPr>
        <w:t>：辨识新乡贤融入共同富裕的演绎机理，辨析新乡贤融入共同富裕的关系层理，辨别新乡贤融入共同富裕的现实瓶颈，研究</w:t>
      </w:r>
      <w:r>
        <w:rPr>
          <w:rFonts w:hint="eastAsia"/>
          <w:sz w:val="28"/>
          <w:szCs w:val="28"/>
        </w:rPr>
        <w:t>新乡贤融入共同富裕的创新策略等。</w:t>
      </w:r>
    </w:p>
    <w:p>
      <w:pPr>
        <w:ind w:firstLine="560"/>
        <w:rPr>
          <w:b/>
          <w:bCs/>
          <w:sz w:val="28"/>
          <w:szCs w:val="28"/>
        </w:rPr>
      </w:pPr>
      <w:r>
        <w:rPr>
          <w:rFonts w:hint="eastAsia"/>
          <w:sz w:val="28"/>
          <w:szCs w:val="28"/>
        </w:rPr>
        <w:t>3.</w:t>
      </w:r>
      <w:r>
        <w:rPr>
          <w:rFonts w:hint="eastAsia"/>
          <w:b/>
          <w:bCs/>
          <w:sz w:val="28"/>
          <w:szCs w:val="28"/>
        </w:rPr>
        <w:t>数字赋能统一战线整体智治与精准智控研究</w:t>
      </w:r>
    </w:p>
    <w:p>
      <w:pPr>
        <w:ind w:firstLine="560"/>
        <w:rPr>
          <w:sz w:val="28"/>
          <w:szCs w:val="28"/>
        </w:rPr>
      </w:pPr>
      <w:r>
        <w:rPr>
          <w:rFonts w:hint="eastAsia" w:ascii="楷体" w:hAnsi="楷体" w:eastAsia="楷体" w:cs="楷体"/>
          <w:b/>
          <w:bCs/>
          <w:sz w:val="28"/>
          <w:szCs w:val="28"/>
        </w:rPr>
        <w:t>要点</w:t>
      </w:r>
      <w:r>
        <w:rPr>
          <w:rFonts w:hint="eastAsia"/>
          <w:sz w:val="28"/>
          <w:szCs w:val="28"/>
        </w:rPr>
        <w:t>：研究习近平总书记关于数字中国建设的重要论述，转化党的二十大精神、省第十五次党代会精神、全省数字化改革推进会精神、省数字统战建设推进会精神，研究升级亲清直播间、优化数字统战驾驶舱、打造党外代表人士评价培育系统、形成统战核心业务清单的机制与路径等。</w:t>
      </w:r>
    </w:p>
    <w:p>
      <w:pPr>
        <w:ind w:firstLine="560"/>
        <w:rPr>
          <w:b/>
          <w:bCs/>
          <w:sz w:val="28"/>
          <w:szCs w:val="28"/>
        </w:rPr>
      </w:pPr>
      <w:r>
        <w:rPr>
          <w:rFonts w:hint="eastAsia"/>
          <w:sz w:val="28"/>
          <w:szCs w:val="28"/>
        </w:rPr>
        <w:t>4.</w:t>
      </w:r>
      <w:r>
        <w:rPr>
          <w:rFonts w:hint="eastAsia"/>
          <w:b/>
          <w:bCs/>
          <w:sz w:val="28"/>
          <w:szCs w:val="28"/>
        </w:rPr>
        <w:t>“大群团”优势与“大统战”格局转化研究</w:t>
      </w:r>
    </w:p>
    <w:p>
      <w:pPr>
        <w:ind w:firstLine="560"/>
        <w:rPr>
          <w:sz w:val="28"/>
          <w:szCs w:val="28"/>
        </w:rPr>
      </w:pPr>
      <w:r>
        <w:rPr>
          <w:rFonts w:hint="eastAsia" w:ascii="楷体" w:hAnsi="楷体" w:eastAsia="楷体" w:cs="楷体"/>
          <w:b/>
          <w:bCs/>
          <w:sz w:val="28"/>
          <w:szCs w:val="28"/>
        </w:rPr>
        <w:t>要点</w:t>
      </w:r>
      <w:r>
        <w:rPr>
          <w:rFonts w:hint="eastAsia"/>
          <w:sz w:val="28"/>
          <w:szCs w:val="28"/>
        </w:rPr>
        <w:t>：落实大团结大联合的统战本质要求，聚焦统战服务大局的职能价值所在。探究群团跨部门“大协作”、建设跨领域“大服务”、统战跨机构“大作为”机制，供给“同心共富”争先氛围营造、增效机制打造、集成系统建造、汇智体系塑造、应用场景再造的理论支撑与实践路径等。</w:t>
      </w:r>
    </w:p>
    <w:p>
      <w:pPr>
        <w:ind w:firstLine="560"/>
        <w:rPr>
          <w:sz w:val="28"/>
          <w:szCs w:val="28"/>
        </w:rPr>
      </w:pPr>
      <w:r>
        <w:rPr>
          <w:rFonts w:hint="eastAsia"/>
          <w:sz w:val="28"/>
          <w:szCs w:val="28"/>
        </w:rPr>
        <w:t>5.</w:t>
      </w:r>
      <w:r>
        <w:rPr>
          <w:rFonts w:hint="eastAsia"/>
          <w:b/>
          <w:bCs/>
          <w:sz w:val="28"/>
          <w:szCs w:val="28"/>
        </w:rPr>
        <w:t>新时代网络统战认知逻辑、发生机理及实践进路研究</w:t>
      </w:r>
    </w:p>
    <w:p>
      <w:pPr>
        <w:ind w:firstLine="560"/>
        <w:rPr>
          <w:sz w:val="28"/>
          <w:szCs w:val="28"/>
        </w:rPr>
      </w:pPr>
      <w:r>
        <w:rPr>
          <w:rFonts w:hint="eastAsia" w:ascii="楷体" w:hAnsi="楷体" w:eastAsia="楷体" w:cs="楷体"/>
          <w:b/>
          <w:bCs/>
          <w:sz w:val="28"/>
          <w:szCs w:val="28"/>
        </w:rPr>
        <w:t>要点</w:t>
      </w:r>
      <w:r>
        <w:rPr>
          <w:rFonts w:hint="eastAsia"/>
          <w:sz w:val="28"/>
          <w:szCs w:val="28"/>
        </w:rPr>
        <w:t>：考述</w:t>
      </w:r>
      <w:r>
        <w:rPr>
          <w:rFonts w:hint="eastAsia"/>
          <w:sz w:val="28"/>
          <w:szCs w:val="28"/>
        </w:rPr>
        <w:t>新时代网络统战引领思想政治势在必行的逻辑机理，考证新时代网络统战引领思想政治的独特优势，考察新时代网络统战引领思想政治的弱项挑战，考索新朝代网络统战引领思想政治的体制支撑与政策指导机制等</w:t>
      </w:r>
    </w:p>
    <w:p>
      <w:pPr>
        <w:ind w:firstLine="560"/>
        <w:rPr>
          <w:b/>
          <w:bCs/>
          <w:sz w:val="28"/>
          <w:szCs w:val="28"/>
        </w:rPr>
      </w:pPr>
      <w:r>
        <w:rPr>
          <w:rFonts w:hint="eastAsia"/>
          <w:sz w:val="28"/>
          <w:szCs w:val="28"/>
        </w:rPr>
        <w:t>6.</w:t>
      </w:r>
      <w:r>
        <w:rPr>
          <w:rFonts w:hint="eastAsia"/>
          <w:b/>
          <w:bCs/>
          <w:sz w:val="28"/>
          <w:szCs w:val="28"/>
        </w:rPr>
        <w:t>“两个大局”视域下海外统战工作</w:t>
      </w:r>
      <w:r>
        <w:rPr>
          <w:rFonts w:hint="eastAsia"/>
          <w:b/>
          <w:bCs/>
          <w:sz w:val="28"/>
          <w:szCs w:val="28"/>
        </w:rPr>
        <w:t>讲好中国故事的使命及进路</w:t>
      </w:r>
    </w:p>
    <w:p>
      <w:pPr>
        <w:ind w:firstLine="560"/>
        <w:rPr>
          <w:sz w:val="28"/>
          <w:szCs w:val="28"/>
        </w:rPr>
      </w:pPr>
      <w:r>
        <w:rPr>
          <w:rFonts w:hint="eastAsia" w:ascii="楷体" w:hAnsi="楷体" w:eastAsia="楷体" w:cs="楷体"/>
          <w:b/>
          <w:bCs/>
          <w:sz w:val="28"/>
          <w:szCs w:val="28"/>
        </w:rPr>
        <w:t>要点</w:t>
      </w:r>
      <w:r>
        <w:rPr>
          <w:rFonts w:hint="eastAsia"/>
          <w:sz w:val="28"/>
          <w:szCs w:val="28"/>
        </w:rPr>
        <w:t>：厘清海外统战的时代使命与历史方位，分析外海外统战的主要做法与实践成效，总</w:t>
      </w:r>
      <w:bookmarkStart w:id="0" w:name="_GoBack"/>
      <w:r>
        <w:rPr>
          <w:rFonts w:hint="eastAsia"/>
          <w:sz w:val="28"/>
          <w:szCs w:val="28"/>
        </w:rPr>
        <w:t>结党的十八大以来海外统战工作的成</w:t>
      </w:r>
      <w:r>
        <w:rPr>
          <w:rFonts w:hint="eastAsia"/>
          <w:sz w:val="28"/>
          <w:szCs w:val="28"/>
        </w:rPr>
        <w:t>功经验与基本规律，考察海外统战工作面临的</w:t>
      </w:r>
      <w:r>
        <w:rPr>
          <w:rFonts w:hint="eastAsia"/>
          <w:sz w:val="28"/>
          <w:szCs w:val="28"/>
        </w:rPr>
        <w:t>风险挑战，提出做好海外统战工作的创新路径等</w:t>
      </w:r>
      <w:bookmarkEnd w:id="0"/>
    </w:p>
    <w:p>
      <w:pPr>
        <w:ind w:firstLine="560"/>
        <w:rPr>
          <w:sz w:val="28"/>
          <w:szCs w:val="28"/>
        </w:rPr>
      </w:pPr>
      <w:r>
        <w:rPr>
          <w:rFonts w:hint="eastAsia"/>
          <w:sz w:val="28"/>
          <w:szCs w:val="28"/>
        </w:rPr>
        <w:t>7.</w:t>
      </w:r>
      <w:r>
        <w:rPr>
          <w:rFonts w:hint="eastAsia"/>
          <w:b/>
          <w:bCs/>
          <w:sz w:val="28"/>
          <w:szCs w:val="28"/>
        </w:rPr>
        <w:t>新时代党外知识分子思想政治引领制度化精准化标准化研究</w:t>
      </w:r>
    </w:p>
    <w:p>
      <w:pPr>
        <w:ind w:firstLine="560"/>
        <w:rPr>
          <w:sz w:val="28"/>
          <w:szCs w:val="28"/>
        </w:rPr>
      </w:pPr>
      <w:r>
        <w:rPr>
          <w:rFonts w:hint="eastAsia" w:ascii="楷体" w:hAnsi="楷体" w:eastAsia="楷体" w:cs="楷体"/>
          <w:b/>
          <w:bCs/>
          <w:sz w:val="28"/>
          <w:szCs w:val="28"/>
        </w:rPr>
        <w:t>要点</w:t>
      </w:r>
      <w:r>
        <w:rPr>
          <w:rFonts w:hint="eastAsia"/>
          <w:sz w:val="28"/>
          <w:szCs w:val="28"/>
        </w:rPr>
        <w:t>：从理论上阐释推进新时代党外知识分子思想政治引领制度化的必要性，从现实上分析推进新时代党外知识分子思想政治引领精准化的重要性，从实践上揭示推进新时代党外知识分子思想政治引领的标准化的关键性。从长短上考察推进党外知识分子思想政治引领制度化的成效与短板。从策略上设计提升新时代党外知识分子思想政治引领质量的路径等</w:t>
      </w:r>
    </w:p>
    <w:p>
      <w:pPr>
        <w:ind w:firstLine="536"/>
        <w:rPr>
          <w:spacing w:val="-6"/>
          <w:sz w:val="28"/>
          <w:szCs w:val="28"/>
        </w:rPr>
      </w:pPr>
      <w:r>
        <w:rPr>
          <w:rFonts w:hint="eastAsia"/>
          <w:spacing w:val="-6"/>
          <w:sz w:val="28"/>
          <w:szCs w:val="28"/>
        </w:rPr>
        <w:t>8.</w:t>
      </w:r>
      <w:r>
        <w:rPr>
          <w:rFonts w:hint="eastAsia"/>
          <w:b/>
          <w:bCs/>
          <w:spacing w:val="-6"/>
          <w:sz w:val="28"/>
          <w:szCs w:val="28"/>
        </w:rPr>
        <w:t>习近平总书记关于加强和改进民族工</w:t>
      </w:r>
      <w:r>
        <w:rPr>
          <w:rFonts w:hint="eastAsia"/>
          <w:b/>
          <w:bCs/>
          <w:sz w:val="28"/>
          <w:szCs w:val="28"/>
        </w:rPr>
        <w:t>作的重要</w:t>
      </w:r>
      <w:r>
        <w:rPr>
          <w:rFonts w:hint="eastAsia"/>
          <w:b/>
          <w:bCs/>
          <w:spacing w:val="-6"/>
          <w:sz w:val="28"/>
          <w:szCs w:val="28"/>
        </w:rPr>
        <w:t>思想四重逻辑研究</w:t>
      </w:r>
    </w:p>
    <w:p>
      <w:pPr>
        <w:ind w:firstLine="560"/>
        <w:rPr>
          <w:sz w:val="28"/>
          <w:szCs w:val="28"/>
        </w:rPr>
      </w:pPr>
      <w:r>
        <w:rPr>
          <w:rFonts w:hint="eastAsia" w:ascii="楷体" w:hAnsi="楷体" w:eastAsia="楷体" w:cs="楷体"/>
          <w:b/>
          <w:bCs/>
          <w:sz w:val="28"/>
          <w:szCs w:val="28"/>
        </w:rPr>
        <w:t>要点</w:t>
      </w:r>
      <w:r>
        <w:rPr>
          <w:rFonts w:hint="eastAsia"/>
          <w:sz w:val="28"/>
          <w:szCs w:val="28"/>
        </w:rPr>
        <w:t>：剖析习近平总书记关于加强和改进民族工作的重要思想的理论源泉、历史根基、借鉴对象、逻辑体系，解析时代党的民族工作思想体系与时代特征，厘析新发展阶段推进中华民族共有精神家园建设、促进各民族交往交流交融、行进各民族共同走向中国式现代化、跃进民族事务治理能力与水平、增进党对民族工作全面领导的实践路径等</w:t>
      </w:r>
    </w:p>
    <w:p>
      <w:pPr>
        <w:ind w:firstLine="560"/>
        <w:rPr>
          <w:sz w:val="28"/>
          <w:szCs w:val="28"/>
        </w:rPr>
      </w:pPr>
      <w:r>
        <w:rPr>
          <w:rFonts w:hint="eastAsia"/>
          <w:sz w:val="28"/>
          <w:szCs w:val="28"/>
        </w:rPr>
        <w:t>9.</w:t>
      </w:r>
      <w:r>
        <w:rPr>
          <w:rFonts w:hint="eastAsia"/>
          <w:b/>
          <w:bCs/>
          <w:sz w:val="28"/>
          <w:szCs w:val="28"/>
        </w:rPr>
        <w:t>新发展阶段基层</w:t>
      </w:r>
      <w:r>
        <w:rPr>
          <w:rFonts w:hint="eastAsia"/>
          <w:b/>
          <w:bCs/>
          <w:sz w:val="28"/>
          <w:szCs w:val="28"/>
        </w:rPr>
        <w:t>统战工作</w:t>
      </w:r>
      <w:r>
        <w:rPr>
          <w:rFonts w:hint="eastAsia"/>
          <w:b/>
          <w:bCs/>
          <w:sz w:val="28"/>
          <w:szCs w:val="28"/>
        </w:rPr>
        <w:t>“优点”“难点”“布点”研究</w:t>
      </w:r>
    </w:p>
    <w:p>
      <w:pPr>
        <w:ind w:firstLine="560"/>
        <w:rPr>
          <w:sz w:val="28"/>
          <w:szCs w:val="28"/>
        </w:rPr>
      </w:pPr>
      <w:r>
        <w:rPr>
          <w:rFonts w:hint="eastAsia"/>
          <w:sz w:val="28"/>
          <w:szCs w:val="28"/>
        </w:rPr>
        <w:t>要点：党的统战历史上经历过从“上层统一战线”到“下层统一战线”的政策调整，随着统一战线成员向社区农村分布，基层统战工作在乡村场域巩固工农联盟、夯实群众基础日益凸显其时代价值。主要研究基层统战工作的“优点”（价值优势）、“难点”（现</w:t>
      </w:r>
      <w:r>
        <w:rPr>
          <w:rFonts w:hint="eastAsia"/>
          <w:sz w:val="28"/>
          <w:szCs w:val="28"/>
        </w:rPr>
        <w:t>实弱势）、“布点”（优化胜势）等</w:t>
      </w:r>
    </w:p>
    <w:p>
      <w:pPr>
        <w:ind w:firstLine="560"/>
        <w:rPr>
          <w:sz w:val="28"/>
          <w:szCs w:val="28"/>
        </w:rPr>
      </w:pPr>
      <w:r>
        <w:rPr>
          <w:rFonts w:hint="eastAsia"/>
          <w:sz w:val="28"/>
          <w:szCs w:val="28"/>
        </w:rPr>
        <w:t>10.</w:t>
      </w:r>
      <w:r>
        <w:rPr>
          <w:rFonts w:hint="eastAsia"/>
          <w:b/>
          <w:bCs/>
          <w:sz w:val="28"/>
          <w:szCs w:val="28"/>
        </w:rPr>
        <w:t>党外青年知识分子政治引领与统战策略研究</w:t>
      </w:r>
    </w:p>
    <w:p>
      <w:pPr>
        <w:ind w:firstLine="560"/>
        <w:rPr>
          <w:sz w:val="28"/>
          <w:szCs w:val="28"/>
        </w:rPr>
      </w:pPr>
      <w:r>
        <w:rPr>
          <w:rFonts w:hint="eastAsia" w:ascii="楷体" w:hAnsi="楷体" w:eastAsia="楷体" w:cs="楷体"/>
          <w:b/>
          <w:bCs/>
          <w:sz w:val="28"/>
          <w:szCs w:val="28"/>
        </w:rPr>
        <w:t>要点</w:t>
      </w:r>
      <w:r>
        <w:rPr>
          <w:rFonts w:hint="eastAsia"/>
          <w:sz w:val="28"/>
          <w:szCs w:val="28"/>
        </w:rPr>
        <w:t>：调查分析新时代党外青年知识分子政治认同感、政治信任感、政治效能感、社会主义核心价值观、宗教信仰等政治引领实况与现实特征，分析党外青年知识分子政治引领存在的问题及成因，提出基于整体智治的党外青年知识分子政治引领策略与统一战线工作方略等</w:t>
      </w:r>
    </w:p>
    <w:p>
      <w:pPr>
        <w:ind w:firstLine="560"/>
        <w:rPr>
          <w:sz w:val="28"/>
          <w:szCs w:val="28"/>
        </w:rPr>
      </w:pPr>
      <w:r>
        <w:rPr>
          <w:rFonts w:hint="eastAsia"/>
          <w:sz w:val="28"/>
          <w:szCs w:val="28"/>
        </w:rPr>
        <w:t>11.自选课题</w:t>
      </w:r>
    </w:p>
    <w:p>
      <w:pPr>
        <w:ind w:firstLine="560"/>
        <w:rPr>
          <w:sz w:val="28"/>
          <w:szCs w:val="28"/>
        </w:rPr>
      </w:pPr>
      <w:r>
        <w:rPr>
          <w:rFonts w:hint="eastAsia" w:ascii="楷体" w:hAnsi="楷体" w:eastAsia="楷体" w:cs="楷体"/>
          <w:b/>
          <w:bCs/>
          <w:sz w:val="28"/>
          <w:szCs w:val="28"/>
        </w:rPr>
        <w:t>要点</w:t>
      </w:r>
      <w:r>
        <w:rPr>
          <w:rFonts w:hint="eastAsia"/>
          <w:sz w:val="28"/>
          <w:szCs w:val="28"/>
        </w:rPr>
        <w:t>：根据基地建设要求，结合专业优势，围绕党的统一战线研究自主选题申报。</w:t>
      </w:r>
    </w:p>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33274"/>
    <w:multiLevelType w:val="multilevel"/>
    <w:tmpl w:val="2C933274"/>
    <w:lvl w:ilvl="0" w:tentative="0">
      <w:start w:val="4"/>
      <w:numFmt w:val="chineseCountingThousand"/>
      <w:pStyle w:val="2"/>
      <w:lvlText w:val="第%1章"/>
      <w:lvlJc w:val="left"/>
      <w:pPr>
        <w:ind w:left="0" w:firstLine="0"/>
      </w:pPr>
      <w:rPr>
        <w:rFonts w:hint="eastAsia"/>
      </w:rPr>
    </w:lvl>
    <w:lvl w:ilvl="1" w:tentative="0">
      <w:start w:val="1"/>
      <w:numFmt w:val="chineseCountingThousand"/>
      <w:lvlText w:val="第%2节"/>
      <w:lvlJc w:val="left"/>
      <w:pPr>
        <w:ind w:left="-425" w:firstLine="0"/>
      </w:pPr>
      <w:rPr>
        <w:rFonts w:hint="eastAsia"/>
      </w:rPr>
    </w:lvl>
    <w:lvl w:ilvl="2" w:tentative="0">
      <w:start w:val="1"/>
      <w:numFmt w:val="chineseCountingThousand"/>
      <w:lvlText w:val="%3."/>
      <w:lvlJc w:val="left"/>
      <w:pPr>
        <w:ind w:left="-1418" w:firstLine="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3" w:tentative="0">
      <w:start w:val="1"/>
      <w:numFmt w:val="lowerRoman"/>
      <w:lvlText w:val="(%4)"/>
      <w:lvlJc w:val="right"/>
      <w:pPr>
        <w:ind w:left="-1418" w:firstLine="0"/>
      </w:pPr>
      <w:rPr>
        <w:rFonts w:hint="eastAsia"/>
      </w:rPr>
    </w:lvl>
    <w:lvl w:ilvl="4" w:tentative="0">
      <w:start w:val="1"/>
      <w:numFmt w:val="decimal"/>
      <w:lvlText w:val="%5)"/>
      <w:lvlJc w:val="left"/>
      <w:pPr>
        <w:ind w:left="-1418" w:firstLine="0"/>
      </w:pPr>
      <w:rPr>
        <w:rFonts w:hint="eastAsia"/>
      </w:rPr>
    </w:lvl>
    <w:lvl w:ilvl="5" w:tentative="0">
      <w:start w:val="1"/>
      <w:numFmt w:val="lowerLetter"/>
      <w:lvlText w:val="%6)"/>
      <w:lvlJc w:val="left"/>
      <w:pPr>
        <w:ind w:left="-1418" w:firstLine="0"/>
      </w:pPr>
      <w:rPr>
        <w:rFonts w:hint="eastAsia"/>
      </w:rPr>
    </w:lvl>
    <w:lvl w:ilvl="6" w:tentative="0">
      <w:start w:val="1"/>
      <w:numFmt w:val="lowerRoman"/>
      <w:lvlText w:val="%7)"/>
      <w:lvlJc w:val="right"/>
      <w:pPr>
        <w:ind w:left="-1418" w:firstLine="0"/>
      </w:pPr>
      <w:rPr>
        <w:rFonts w:hint="eastAsia"/>
      </w:rPr>
    </w:lvl>
    <w:lvl w:ilvl="7" w:tentative="0">
      <w:start w:val="1"/>
      <w:numFmt w:val="lowerLetter"/>
      <w:lvlText w:val="%8."/>
      <w:lvlJc w:val="left"/>
      <w:pPr>
        <w:ind w:left="-1418" w:firstLine="0"/>
      </w:pPr>
      <w:rPr>
        <w:rFonts w:hint="eastAsia"/>
      </w:rPr>
    </w:lvl>
    <w:lvl w:ilvl="8" w:tentative="0">
      <w:start w:val="1"/>
      <w:numFmt w:val="lowerRoman"/>
      <w:lvlText w:val="%9."/>
      <w:lvlJc w:val="right"/>
      <w:pPr>
        <w:ind w:left="-1418" w:firstLine="0"/>
      </w:pPr>
      <w:rPr>
        <w:rFonts w:hint="eastAsia"/>
      </w:rPr>
    </w:lvl>
  </w:abstractNum>
  <w:abstractNum w:abstractNumId="1">
    <w:nsid w:val="3A5469E5"/>
    <w:multiLevelType w:val="multilevel"/>
    <w:tmpl w:val="3A5469E5"/>
    <w:lvl w:ilvl="0" w:tentative="0">
      <w:start w:val="1"/>
      <w:numFmt w:val="chineseCountingThousand"/>
      <w:lvlText w:val="第%1章"/>
      <w:lvlJc w:val="left"/>
      <w:pPr>
        <w:ind w:left="0" w:firstLine="0"/>
      </w:pPr>
      <w:rPr>
        <w:rFonts w:hint="eastAsia"/>
      </w:rPr>
    </w:lvl>
    <w:lvl w:ilvl="1" w:tentative="0">
      <w:start w:val="1"/>
      <w:numFmt w:val="chineseCountingThousand"/>
      <w:lvlText w:val="第%2节"/>
      <w:lvlJc w:val="left"/>
      <w:pPr>
        <w:ind w:left="993" w:firstLine="0"/>
      </w:pPr>
      <w:rPr>
        <w:rFonts w:hint="eastAsia"/>
      </w:rPr>
    </w:lvl>
    <w:lvl w:ilvl="2" w:tentative="0">
      <w:start w:val="2"/>
      <w:numFmt w:val="chineseCountingThousand"/>
      <w:pStyle w:val="4"/>
      <w:lvlText w:val="%3."/>
      <w:lvlJc w:val="left"/>
      <w:pPr>
        <w:ind w:left="426" w:firstLine="0"/>
      </w:pPr>
      <w:rPr>
        <w:b w:val="0"/>
        <w:bCs w:val="0"/>
        <w:i w:val="0"/>
        <w:iCs w:val="0"/>
        <w:caps w:val="0"/>
        <w:smallCaps w:val="0"/>
        <w:strike w:val="0"/>
        <w:dstrike w:val="0"/>
        <w:outline w:val="0"/>
        <w:shadow w:val="0"/>
        <w:emboss w:val="0"/>
        <w:imprint w:val="0"/>
        <w:vanish w:val="0"/>
        <w:spacing w:val="0"/>
        <w:kern w:val="0"/>
        <w:position w:val="0"/>
        <w:u w:val="none"/>
        <w:vertAlign w:val="baseline"/>
      </w:rPr>
    </w:lvl>
    <w:lvl w:ilvl="3" w:tentative="0">
      <w:start w:val="1"/>
      <w:numFmt w:val="lowerRoman"/>
      <w:lvlText w:val="(%4)"/>
      <w:lvlJc w:val="right"/>
      <w:pPr>
        <w:ind w:left="0" w:firstLine="0"/>
      </w:pPr>
      <w:rPr>
        <w:rFonts w:hint="eastAsia"/>
      </w:rPr>
    </w:lvl>
    <w:lvl w:ilvl="4" w:tentative="0">
      <w:start w:val="1"/>
      <w:numFmt w:val="decimal"/>
      <w:lvlText w:val="%5)"/>
      <w:lvlJc w:val="left"/>
      <w:pPr>
        <w:ind w:left="0" w:firstLine="0"/>
      </w:pPr>
      <w:rPr>
        <w:rFonts w:hint="eastAsia"/>
      </w:rPr>
    </w:lvl>
    <w:lvl w:ilvl="5" w:tentative="0">
      <w:start w:val="1"/>
      <w:numFmt w:val="lowerLetter"/>
      <w:lvlText w:val="%6)"/>
      <w:lvlJc w:val="left"/>
      <w:pPr>
        <w:ind w:left="0" w:firstLine="0"/>
      </w:pPr>
      <w:rPr>
        <w:rFonts w:hint="eastAsia"/>
      </w:rPr>
    </w:lvl>
    <w:lvl w:ilvl="6" w:tentative="0">
      <w:start w:val="1"/>
      <w:numFmt w:val="lowerRoman"/>
      <w:lvlText w:val="%7)"/>
      <w:lvlJc w:val="righ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47AA7DE8"/>
    <w:multiLevelType w:val="multilevel"/>
    <w:tmpl w:val="47AA7DE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chineseCountingThousand"/>
      <w:pStyle w:val="5"/>
      <w:lvlText w:val="(%4)"/>
      <w:lvlJc w:val="left"/>
      <w:pPr>
        <w:ind w:left="142" w:firstLine="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ZmMjIzYWQ3YzQyYWQzYWI3OTFkMzE4ZTI2OGMzMTgifQ=="/>
  </w:docVars>
  <w:rsids>
    <w:rsidRoot w:val="00683126"/>
    <w:rsid w:val="0018157D"/>
    <w:rsid w:val="00242E98"/>
    <w:rsid w:val="002657E4"/>
    <w:rsid w:val="002F0164"/>
    <w:rsid w:val="00360231"/>
    <w:rsid w:val="003A2E46"/>
    <w:rsid w:val="004042B5"/>
    <w:rsid w:val="00440660"/>
    <w:rsid w:val="004E4880"/>
    <w:rsid w:val="005E4E0F"/>
    <w:rsid w:val="00683126"/>
    <w:rsid w:val="006A1FC1"/>
    <w:rsid w:val="006D4973"/>
    <w:rsid w:val="006F6B25"/>
    <w:rsid w:val="00712062"/>
    <w:rsid w:val="00716CB7"/>
    <w:rsid w:val="007545EC"/>
    <w:rsid w:val="007F59D8"/>
    <w:rsid w:val="00937BAA"/>
    <w:rsid w:val="00954C8A"/>
    <w:rsid w:val="009A4501"/>
    <w:rsid w:val="009A56C4"/>
    <w:rsid w:val="00A57DBB"/>
    <w:rsid w:val="00AA0076"/>
    <w:rsid w:val="00AA16F0"/>
    <w:rsid w:val="00AA3D5B"/>
    <w:rsid w:val="00AA4397"/>
    <w:rsid w:val="00B15499"/>
    <w:rsid w:val="00BE6914"/>
    <w:rsid w:val="00BF33E1"/>
    <w:rsid w:val="00D0760E"/>
    <w:rsid w:val="00D80AFA"/>
    <w:rsid w:val="00D828D5"/>
    <w:rsid w:val="00E02AD8"/>
    <w:rsid w:val="00E26E87"/>
    <w:rsid w:val="00EE1E29"/>
    <w:rsid w:val="00EE3FCB"/>
    <w:rsid w:val="00F35745"/>
    <w:rsid w:val="00F36A77"/>
    <w:rsid w:val="00FA5539"/>
    <w:rsid w:val="00FB7D0E"/>
    <w:rsid w:val="18335C8E"/>
    <w:rsid w:val="45C158E4"/>
    <w:rsid w:val="7A476D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宋体" w:hAnsi="宋体" w:eastAsia="宋体" w:cs="宋体"/>
      <w:sz w:val="24"/>
      <w:szCs w:val="24"/>
      <w:lang w:val="en-US" w:eastAsia="zh-CN" w:bidi="ar-SA"/>
    </w:rPr>
  </w:style>
  <w:style w:type="paragraph" w:styleId="2">
    <w:name w:val="heading 1"/>
    <w:basedOn w:val="1"/>
    <w:next w:val="1"/>
    <w:link w:val="13"/>
    <w:qFormat/>
    <w:uiPriority w:val="9"/>
    <w:pPr>
      <w:keepNext/>
      <w:keepLines/>
      <w:numPr>
        <w:ilvl w:val="0"/>
        <w:numId w:val="1"/>
      </w:numPr>
      <w:spacing w:before="340" w:after="330" w:line="578" w:lineRule="auto"/>
      <w:ind w:firstLineChars="0"/>
      <w:outlineLvl w:val="0"/>
    </w:pPr>
    <w:rPr>
      <w:rFonts w:ascii="Times New Roman" w:hAnsi="Times New Roman" w:cs="Times New Roman"/>
      <w:b/>
      <w:bCs/>
      <w:kern w:val="44"/>
      <w:sz w:val="44"/>
      <w:szCs w:val="44"/>
    </w:rPr>
  </w:style>
  <w:style w:type="paragraph" w:styleId="3">
    <w:name w:val="heading 2"/>
    <w:basedOn w:val="1"/>
    <w:next w:val="1"/>
    <w:link w:val="14"/>
    <w:qFormat/>
    <w:uiPriority w:val="9"/>
    <w:pPr>
      <w:keepNext/>
      <w:keepLines/>
      <w:spacing w:before="260" w:after="260" w:line="416" w:lineRule="auto"/>
      <w:ind w:firstLine="0" w:firstLineChars="0"/>
      <w:outlineLvl w:val="1"/>
    </w:pPr>
    <w:rPr>
      <w:rFonts w:ascii="Cambria" w:hAnsi="Cambria" w:cs="Times New Roman"/>
      <w:b/>
      <w:bCs/>
      <w:sz w:val="32"/>
      <w:szCs w:val="32"/>
    </w:rPr>
  </w:style>
  <w:style w:type="paragraph" w:styleId="4">
    <w:name w:val="heading 3"/>
    <w:basedOn w:val="1"/>
    <w:next w:val="1"/>
    <w:link w:val="15"/>
    <w:qFormat/>
    <w:uiPriority w:val="9"/>
    <w:pPr>
      <w:keepNext/>
      <w:keepLines/>
      <w:numPr>
        <w:ilvl w:val="2"/>
        <w:numId w:val="2"/>
      </w:numPr>
      <w:spacing w:before="260" w:after="260" w:line="416" w:lineRule="auto"/>
      <w:ind w:firstLineChars="0"/>
      <w:outlineLvl w:val="2"/>
    </w:pPr>
    <w:rPr>
      <w:rFonts w:ascii="Times New Roman" w:hAnsi="Times New Roman" w:cs="Times New Roman"/>
      <w:b/>
      <w:bCs/>
      <w:sz w:val="32"/>
      <w:szCs w:val="32"/>
    </w:rPr>
  </w:style>
  <w:style w:type="paragraph" w:styleId="5">
    <w:name w:val="heading 4"/>
    <w:basedOn w:val="1"/>
    <w:next w:val="1"/>
    <w:link w:val="16"/>
    <w:qFormat/>
    <w:uiPriority w:val="0"/>
    <w:pPr>
      <w:keepNext/>
      <w:keepLines/>
      <w:numPr>
        <w:ilvl w:val="3"/>
        <w:numId w:val="3"/>
      </w:numPr>
      <w:spacing w:before="280" w:after="290" w:line="376" w:lineRule="auto"/>
      <w:ind w:firstLineChars="0"/>
      <w:outlineLvl w:val="3"/>
    </w:pPr>
    <w:rPr>
      <w:rFonts w:ascii="Cambria" w:hAnsi="Cambria" w:cs="Times New Roman"/>
      <w:b/>
      <w:bCs/>
      <w:sz w:val="28"/>
      <w:szCs w:val="28"/>
    </w:rPr>
  </w:style>
  <w:style w:type="paragraph" w:styleId="6">
    <w:name w:val="heading 5"/>
    <w:basedOn w:val="1"/>
    <w:next w:val="1"/>
    <w:link w:val="17"/>
    <w:qFormat/>
    <w:uiPriority w:val="0"/>
    <w:pPr>
      <w:keepNext/>
      <w:keepLines/>
      <w:spacing w:before="280" w:after="290" w:line="376" w:lineRule="auto"/>
      <w:ind w:firstLine="0" w:firstLineChars="0"/>
      <w:outlineLvl w:val="4"/>
    </w:pPr>
    <w:rPr>
      <w:bCs/>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pacing w:line="240" w:lineRule="auto"/>
    </w:pPr>
    <w:rPr>
      <w:rFonts w:ascii="Arial" w:hAnsi="Arial" w:eastAsia="黑体" w:cs="Arial"/>
      <w:sz w:val="20"/>
      <w:szCs w:val="20"/>
    </w:rPr>
  </w:style>
  <w:style w:type="paragraph" w:styleId="8">
    <w:name w:val="footer"/>
    <w:basedOn w:val="1"/>
    <w:link w:val="21"/>
    <w:semiHidden/>
    <w:unhideWhenUsed/>
    <w:uiPriority w:val="99"/>
    <w:pPr>
      <w:tabs>
        <w:tab w:val="center" w:pos="4153"/>
        <w:tab w:val="right" w:pos="8306"/>
      </w:tabs>
      <w:snapToGrid w:val="0"/>
      <w:spacing w:line="240" w:lineRule="auto"/>
    </w:pPr>
    <w:rPr>
      <w:sz w:val="18"/>
      <w:szCs w:val="18"/>
    </w:rPr>
  </w:style>
  <w:style w:type="paragraph" w:styleId="9">
    <w:name w:val="header"/>
    <w:basedOn w:val="1"/>
    <w:link w:val="20"/>
    <w:semiHidden/>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12">
    <w:name w:val="Strong"/>
    <w:qFormat/>
    <w:uiPriority w:val="22"/>
    <w:rPr>
      <w:b/>
      <w:bCs/>
    </w:rPr>
  </w:style>
  <w:style w:type="character" w:customStyle="1" w:styleId="13">
    <w:name w:val="标题 1 Char"/>
    <w:link w:val="2"/>
    <w:uiPriority w:val="9"/>
    <w:rPr>
      <w:rFonts w:ascii="Times New Roman" w:hAnsi="Times New Roman"/>
      <w:b/>
      <w:bCs/>
      <w:kern w:val="44"/>
      <w:sz w:val="44"/>
      <w:szCs w:val="44"/>
    </w:rPr>
  </w:style>
  <w:style w:type="character" w:customStyle="1" w:styleId="14">
    <w:name w:val="标题 2 Char"/>
    <w:link w:val="3"/>
    <w:uiPriority w:val="9"/>
    <w:rPr>
      <w:rFonts w:ascii="Cambria" w:hAnsi="Cambria"/>
      <w:b/>
      <w:bCs/>
      <w:sz w:val="32"/>
      <w:szCs w:val="32"/>
    </w:rPr>
  </w:style>
  <w:style w:type="character" w:customStyle="1" w:styleId="15">
    <w:name w:val="标题 3 Char"/>
    <w:link w:val="4"/>
    <w:uiPriority w:val="9"/>
    <w:rPr>
      <w:rFonts w:ascii="Times New Roman" w:hAnsi="Times New Roman"/>
      <w:b/>
      <w:bCs/>
      <w:sz w:val="32"/>
      <w:szCs w:val="32"/>
    </w:rPr>
  </w:style>
  <w:style w:type="character" w:customStyle="1" w:styleId="16">
    <w:name w:val="标题 4 Char"/>
    <w:link w:val="5"/>
    <w:uiPriority w:val="0"/>
    <w:rPr>
      <w:rFonts w:ascii="Cambria" w:hAnsi="Cambria"/>
      <w:b/>
      <w:bCs/>
      <w:sz w:val="28"/>
      <w:szCs w:val="28"/>
    </w:rPr>
  </w:style>
  <w:style w:type="character" w:customStyle="1" w:styleId="17">
    <w:name w:val="标题 5 Char"/>
    <w:link w:val="6"/>
    <w:uiPriority w:val="0"/>
    <w:rPr>
      <w:rFonts w:ascii="宋体" w:hAnsi="宋体" w:cs="宋体"/>
      <w:bCs/>
      <w:sz w:val="24"/>
      <w:szCs w:val="28"/>
    </w:rPr>
  </w:style>
  <w:style w:type="paragraph" w:customStyle="1" w:styleId="18">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19">
    <w:name w:val="TOC 标题1"/>
    <w:basedOn w:val="2"/>
    <w:next w:val="1"/>
    <w:semiHidden/>
    <w:unhideWhenUsed/>
    <w:qFormat/>
    <w:uiPriority w:val="39"/>
    <w:pPr>
      <w:numPr>
        <w:numId w:val="0"/>
      </w:numPr>
      <w:spacing w:before="480" w:after="0" w:line="276" w:lineRule="auto"/>
      <w:outlineLvl w:val="9"/>
    </w:pPr>
    <w:rPr>
      <w:rFonts w:asciiTheme="majorHAnsi" w:hAnsiTheme="majorHAnsi" w:eastAsiaTheme="majorEastAsia" w:cstheme="majorBidi"/>
      <w:color w:val="366091" w:themeColor="accent1" w:themeShade="BF"/>
      <w:kern w:val="0"/>
      <w:sz w:val="28"/>
      <w:szCs w:val="28"/>
    </w:rPr>
  </w:style>
  <w:style w:type="character" w:customStyle="1" w:styleId="20">
    <w:name w:val="页眉 Char"/>
    <w:basedOn w:val="11"/>
    <w:link w:val="9"/>
    <w:semiHidden/>
    <w:uiPriority w:val="99"/>
    <w:rPr>
      <w:rFonts w:ascii="宋体" w:hAnsi="宋体" w:cs="宋体"/>
      <w:sz w:val="18"/>
      <w:szCs w:val="18"/>
    </w:rPr>
  </w:style>
  <w:style w:type="character" w:customStyle="1" w:styleId="21">
    <w:name w:val="页脚 Char"/>
    <w:basedOn w:val="11"/>
    <w:link w:val="8"/>
    <w:semiHidden/>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228</Words>
  <Characters>1304</Characters>
  <Lines>10</Lines>
  <Paragraphs>3</Paragraphs>
  <TotalTime>11</TotalTime>
  <ScaleCrop>false</ScaleCrop>
  <LinksUpToDate>false</LinksUpToDate>
  <CharactersWithSpaces>1529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2018-12-07T09:40:00Z</dcterms:created>
  <dc:creator>微软用户</dc:creator>
  <cp:lastModifiedBy>梦入洪荒</cp:lastModifiedBy>
  <dcterms:modified xsi:type="dcterms:W3CDTF">2023-10-19T13:58:06Z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D28EDC83FD5442C59ED6A2E6BED4E225_12</vt:lpwstr>
  </property>
</Properties>
</file>